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61A33"/>
          <w:sz w:val="44"/>
        </w:rPr>
        <w:t>SERVICE LEVEL AGREEMENT TEMPLATE</w:t>
      </w:r>
    </w:p>
    <w:p>
      <w:r>
        <w:rPr>
          <w:color w:val="6B7280"/>
          <w:sz w:val="22"/>
        </w:rPr>
        <w:t>Procurement, Supply Chain &amp; S2P Service Performance Framework</w:t>
      </w:r>
    </w:p>
    <w:p>
      <w:r>
        <w:rPr>
          <w:b/>
          <w:color w:val="E31B23"/>
          <w:sz w:val="16"/>
        </w:rPr>
        <w:t>Procurement, Supply Chain &amp; S2P Toolkit</w:t>
      </w:r>
    </w:p>
    <w:tbl>
      <w:tblPr>
        <w:tblW w:type="auto" w:w="0"/>
        <w:jc w:val="center"/>
        <w:tblLayout w:type="autofit"/>
        <w:tblLook w:firstColumn="1" w:firstRow="1" w:lastColumn="0" w:lastRow="0" w:noHBand="0" w:noVBand="1" w:val="04A0"/>
      </w:tblPr>
      <w:tblGrid>
        <w:gridCol w:w="10080"/>
      </w:tblGrid>
      <w:tr>
        <w:tc>
          <w:tcPr>
            <w:tcW w:type="dxa" w:w="10080"/>
            <w:shd w:fill="FFF7ED"/>
          </w:tcPr>
          <w:p>
            <w:pPr>
              <w:spacing w:after="0"/>
            </w:pPr>
            <w:r/>
            <w:r>
              <w:rPr>
                <w:b w:val="0"/>
                <w:color w:val="061A33"/>
                <w:sz w:val="16"/>
              </w:rPr>
              <w:t>Template note: This document is a practical starting point and not legal advice. Review with qualified counsel before signature or external use.</w:t>
            </w:r>
          </w:p>
        </w:tc>
      </w:tr>
    </w:tbl>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061A33"/>
            <w:vAlign w:val="center"/>
          </w:tcPr>
          <w:p>
            <w:pPr>
              <w:spacing w:after="0"/>
            </w:pPr>
            <w:r/>
            <w:r>
              <w:rPr>
                <w:b/>
                <w:color w:val="FFFFFF"/>
                <w:sz w:val="16"/>
              </w:rPr>
              <w:t>Service Name</w:t>
            </w:r>
          </w:p>
        </w:tc>
        <w:tc>
          <w:tcPr>
            <w:tcW w:type="dxa" w:w="2520"/>
            <w:shd w:fill="061A33"/>
            <w:vAlign w:val="center"/>
          </w:tcPr>
          <w:p>
            <w:pPr>
              <w:spacing w:after="0"/>
            </w:pPr>
            <w:r/>
            <w:r>
              <w:rPr>
                <w:b/>
                <w:color w:val="FFFFFF"/>
                <w:sz w:val="16"/>
              </w:rPr>
              <w:t>Service Provider</w:t>
            </w:r>
          </w:p>
        </w:tc>
        <w:tc>
          <w:tcPr>
            <w:tcW w:type="dxa" w:w="2520"/>
            <w:shd w:fill="061A33"/>
            <w:vAlign w:val="center"/>
          </w:tcPr>
          <w:p>
            <w:pPr>
              <w:spacing w:after="0"/>
            </w:pPr>
            <w:r/>
            <w:r>
              <w:rPr>
                <w:b/>
                <w:color w:val="FFFFFF"/>
                <w:sz w:val="16"/>
              </w:rPr>
              <w:t>Service Owner</w:t>
            </w:r>
          </w:p>
        </w:tc>
        <w:tc>
          <w:tcPr>
            <w:tcW w:type="dxa" w:w="2520"/>
            <w:shd w:fill="061A33"/>
            <w:vAlign w:val="center"/>
          </w:tcPr>
          <w:p>
            <w:pPr>
              <w:spacing w:after="0"/>
            </w:pPr>
            <w:r/>
            <w:r>
              <w:rPr>
                <w:b/>
                <w:color w:val="FFFFFF"/>
                <w:sz w:val="16"/>
              </w:rPr>
              <w:t>Effective Period</w:t>
            </w:r>
          </w:p>
        </w:tc>
      </w:tr>
      <w:tr>
        <w:tc>
          <w:tcPr>
            <w:tcW w:type="dxa" w:w="2520"/>
            <w:shd w:fill="F7F9FC"/>
            <w:vAlign w:val="center"/>
          </w:tcPr>
          <w:p>
            <w:pPr>
              <w:spacing w:after="0"/>
            </w:pPr>
            <w:r/>
            <w:r>
              <w:rPr>
                <w:b w:val="0"/>
                <w:color w:val="061A33"/>
                <w:sz w:val="16"/>
              </w:rPr>
              <w:t>[Service / Process]</w:t>
            </w:r>
          </w:p>
        </w:tc>
        <w:tc>
          <w:tcPr>
            <w:tcW w:type="dxa" w:w="2520"/>
            <w:shd w:fill="F7F9FC"/>
            <w:vAlign w:val="center"/>
          </w:tcPr>
          <w:p>
            <w:pPr>
              <w:spacing w:after="0"/>
            </w:pPr>
            <w:r/>
            <w:r>
              <w:rPr>
                <w:b w:val="0"/>
                <w:color w:val="061A33"/>
                <w:sz w:val="16"/>
              </w:rPr>
              <w:t>[Provider]</w:t>
            </w:r>
          </w:p>
        </w:tc>
        <w:tc>
          <w:tcPr>
            <w:tcW w:type="dxa" w:w="2520"/>
            <w:shd w:fill="F7F9FC"/>
            <w:vAlign w:val="center"/>
          </w:tcPr>
          <w:p>
            <w:pPr>
              <w:spacing w:after="0"/>
            </w:pPr>
            <w:r/>
            <w:r>
              <w:rPr>
                <w:b w:val="0"/>
                <w:color w:val="061A33"/>
                <w:sz w:val="16"/>
              </w:rPr>
              <w:t>[Owner]</w:t>
            </w:r>
          </w:p>
        </w:tc>
        <w:tc>
          <w:tcPr>
            <w:tcW w:type="dxa" w:w="2520"/>
            <w:shd w:fill="F7F9FC"/>
            <w:vAlign w:val="center"/>
          </w:tcPr>
          <w:p>
            <w:pPr>
              <w:spacing w:after="0"/>
            </w:pPr>
            <w:r/>
            <w:r>
              <w:rPr>
                <w:b w:val="0"/>
                <w:color w:val="061A33"/>
                <w:sz w:val="16"/>
              </w:rPr>
              <w:t>[Start - End]</w:t>
            </w:r>
          </w:p>
        </w:tc>
      </w:tr>
    </w:tbl>
    <w:p/>
    <w:p>
      <w:pPr>
        <w:pStyle w:val="Heading2"/>
      </w:pPr>
      <w:r>
        <w:t>1. Service Scope</w:t>
      </w:r>
    </w:p>
    <w:p>
      <w:pPr>
        <w:spacing w:after="60"/>
      </w:pPr>
      <w:r>
        <w:t>This Service Level Agreement defines the service scope, service levels, measurement logic, responsibilities, reporting cadence and escalation model for the service named above. The SLA may apply to procurement operations, P2P, sourcing support, supplier onboarding, contract administration, logistics coordination, data services, managed services or advisory support.</w:t>
      </w:r>
    </w:p>
    <w:p>
      <w:pPr>
        <w:pStyle w:val="Heading2"/>
      </w:pPr>
      <w:r>
        <w:t>2. Service Description</w:t>
      </w:r>
    </w:p>
    <w:p>
      <w:pPr>
        <w:spacing w:after="60"/>
      </w:pPr>
      <w:r>
        <w:t>The service provider shall deliver the activities listed below within the agreed operating model and service hours.</w:t>
      </w:r>
    </w:p>
    <w:p>
      <w:pPr>
        <w:pStyle w:val="ListBullet"/>
        <w:spacing w:after="20"/>
      </w:pPr>
      <w:r>
        <w:t>Core service activities: [describe].</w:t>
      </w:r>
    </w:p>
    <w:p>
      <w:pPr>
        <w:pStyle w:val="ListBullet"/>
        <w:spacing w:after="20"/>
      </w:pPr>
      <w:r>
        <w:t>Geographic and business-unit coverage: [describe].</w:t>
      </w:r>
    </w:p>
    <w:p>
      <w:pPr>
        <w:pStyle w:val="ListBullet"/>
        <w:spacing w:after="20"/>
      </w:pPr>
      <w:r>
        <w:t>Systems and channels used: [describe].</w:t>
      </w:r>
    </w:p>
    <w:p>
      <w:pPr>
        <w:pStyle w:val="ListBullet"/>
        <w:spacing w:after="20"/>
      </w:pPr>
      <w:r>
        <w:t>Out-of-scope services: [describe].</w:t>
      </w:r>
    </w:p>
    <w:p>
      <w:pPr>
        <w:pStyle w:val="Heading2"/>
      </w:pPr>
      <w:r>
        <w:t>3. Service Hours and Support Channels</w:t>
      </w:r>
    </w:p>
    <w:p>
      <w:pPr>
        <w:spacing w:after="60"/>
      </w:pPr>
      <w:r>
        <w:t>Standard service hours are [days / times / time zone]. Requests shall be submitted through [ticketing tool / email / portal / workflow]. Emergency channels and after-hours coverage shall be defined where business-critical operations require it.</w:t>
      </w:r>
    </w:p>
    <w:p>
      <w:pPr>
        <w:pStyle w:val="Heading2"/>
      </w:pPr>
      <w:r>
        <w:t>4. Service Levels and KPIs</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061A33"/>
          </w:tcPr>
          <w:p>
            <w:pPr>
              <w:spacing w:after="0"/>
            </w:pPr>
            <w:r/>
            <w:r>
              <w:rPr>
                <w:b/>
                <w:color w:val="FFFFFF"/>
                <w:sz w:val="16"/>
              </w:rPr>
              <w:t>KPI</w:t>
            </w:r>
          </w:p>
        </w:tc>
        <w:tc>
          <w:tcPr>
            <w:tcW w:type="dxa" w:w="2016"/>
            <w:shd w:fill="061A33"/>
          </w:tcPr>
          <w:p>
            <w:pPr>
              <w:spacing w:after="0"/>
            </w:pPr>
            <w:r/>
            <w:r>
              <w:rPr>
                <w:b/>
                <w:color w:val="FFFFFF"/>
                <w:sz w:val="16"/>
              </w:rPr>
              <w:t>Target</w:t>
            </w:r>
          </w:p>
        </w:tc>
        <w:tc>
          <w:tcPr>
            <w:tcW w:type="dxa" w:w="2016"/>
            <w:shd w:fill="061A33"/>
          </w:tcPr>
          <w:p>
            <w:pPr>
              <w:spacing w:after="0"/>
            </w:pPr>
            <w:r/>
            <w:r>
              <w:rPr>
                <w:b/>
                <w:color w:val="FFFFFF"/>
                <w:sz w:val="16"/>
              </w:rPr>
              <w:t>Measurement</w:t>
            </w:r>
          </w:p>
        </w:tc>
        <w:tc>
          <w:tcPr>
            <w:tcW w:type="dxa" w:w="2016"/>
            <w:shd w:fill="061A33"/>
          </w:tcPr>
          <w:p>
            <w:pPr>
              <w:spacing w:after="0"/>
            </w:pPr>
            <w:r/>
            <w:r>
              <w:rPr>
                <w:b/>
                <w:color w:val="FFFFFF"/>
                <w:sz w:val="16"/>
              </w:rPr>
              <w:t>Reporting Frequency</w:t>
            </w:r>
          </w:p>
        </w:tc>
        <w:tc>
          <w:tcPr>
            <w:tcW w:type="dxa" w:w="2016"/>
            <w:shd w:fill="061A33"/>
          </w:tcPr>
          <w:p>
            <w:pPr>
              <w:spacing w:after="0"/>
            </w:pPr>
            <w:r/>
            <w:r>
              <w:rPr>
                <w:b/>
                <w:color w:val="FFFFFF"/>
                <w:sz w:val="16"/>
              </w:rPr>
              <w:t>Owner</w:t>
            </w:r>
          </w:p>
        </w:tc>
      </w:tr>
      <w:tr>
        <w:tc>
          <w:tcPr>
            <w:tcW w:type="dxa" w:w="2016"/>
          </w:tcPr>
          <w:p>
            <w:pPr>
              <w:spacing w:after="0"/>
            </w:pPr>
            <w:r/>
            <w:r>
              <w:rPr>
                <w:b w:val="0"/>
                <w:color w:val="061A33"/>
                <w:sz w:val="16"/>
              </w:rPr>
              <w:t>Response Time</w:t>
            </w:r>
          </w:p>
        </w:tc>
        <w:tc>
          <w:tcPr>
            <w:tcW w:type="dxa" w:w="2016"/>
          </w:tcPr>
          <w:p>
            <w:pPr>
              <w:spacing w:after="0"/>
            </w:pPr>
            <w:r/>
            <w:r>
              <w:rPr>
                <w:b w:val="0"/>
                <w:color w:val="061A33"/>
                <w:sz w:val="16"/>
              </w:rPr>
              <w:t>[e.g., 4 business hours]</w:t>
            </w:r>
          </w:p>
        </w:tc>
        <w:tc>
          <w:tcPr>
            <w:tcW w:type="dxa" w:w="2016"/>
          </w:tcPr>
          <w:p>
            <w:pPr>
              <w:spacing w:after="0"/>
            </w:pPr>
            <w:r/>
            <w:r>
              <w:rPr>
                <w:b w:val="0"/>
                <w:color w:val="061A33"/>
                <w:sz w:val="16"/>
              </w:rPr>
              <w:t>Ticket timestamp to first response</w:t>
            </w:r>
          </w:p>
        </w:tc>
        <w:tc>
          <w:tcPr>
            <w:tcW w:type="dxa" w:w="2016"/>
          </w:tcPr>
          <w:p>
            <w:pPr>
              <w:spacing w:after="0"/>
            </w:pPr>
            <w:r/>
            <w:r>
              <w:rPr>
                <w:b w:val="0"/>
                <w:color w:val="061A33"/>
                <w:sz w:val="16"/>
              </w:rPr>
              <w:t>Monthly</w:t>
            </w:r>
          </w:p>
        </w:tc>
        <w:tc>
          <w:tcPr>
            <w:tcW w:type="dxa" w:w="2016"/>
          </w:tcPr>
          <w:p>
            <w:pPr>
              <w:spacing w:after="0"/>
            </w:pPr>
            <w:r/>
            <w:r>
              <w:rPr>
                <w:b w:val="0"/>
                <w:color w:val="061A33"/>
                <w:sz w:val="16"/>
              </w:rPr>
              <w:t>[Owner]</w:t>
            </w:r>
          </w:p>
        </w:tc>
      </w:tr>
      <w:tr>
        <w:tc>
          <w:tcPr>
            <w:tcW w:type="dxa" w:w="2016"/>
          </w:tcPr>
          <w:p>
            <w:pPr>
              <w:spacing w:after="0"/>
            </w:pPr>
            <w:r/>
            <w:r>
              <w:rPr>
                <w:b w:val="0"/>
                <w:color w:val="061A33"/>
                <w:sz w:val="16"/>
              </w:rPr>
              <w:t>Resolution Time</w:t>
            </w:r>
          </w:p>
        </w:tc>
        <w:tc>
          <w:tcPr>
            <w:tcW w:type="dxa" w:w="2016"/>
          </w:tcPr>
          <w:p>
            <w:pPr>
              <w:spacing w:after="0"/>
            </w:pPr>
            <w:r/>
            <w:r>
              <w:rPr>
                <w:b w:val="0"/>
                <w:color w:val="061A33"/>
                <w:sz w:val="16"/>
              </w:rPr>
              <w:t>[e.g., 3 business days]</w:t>
            </w:r>
          </w:p>
        </w:tc>
        <w:tc>
          <w:tcPr>
            <w:tcW w:type="dxa" w:w="2016"/>
          </w:tcPr>
          <w:p>
            <w:pPr>
              <w:spacing w:after="0"/>
            </w:pPr>
            <w:r/>
            <w:r>
              <w:rPr>
                <w:b w:val="0"/>
                <w:color w:val="061A33"/>
                <w:sz w:val="16"/>
              </w:rPr>
              <w:t>Ticket open to closure</w:t>
            </w:r>
          </w:p>
        </w:tc>
        <w:tc>
          <w:tcPr>
            <w:tcW w:type="dxa" w:w="2016"/>
          </w:tcPr>
          <w:p>
            <w:pPr>
              <w:spacing w:after="0"/>
            </w:pPr>
            <w:r/>
            <w:r>
              <w:rPr>
                <w:b w:val="0"/>
                <w:color w:val="061A33"/>
                <w:sz w:val="16"/>
              </w:rPr>
              <w:t>Monthly</w:t>
            </w:r>
          </w:p>
        </w:tc>
        <w:tc>
          <w:tcPr>
            <w:tcW w:type="dxa" w:w="2016"/>
          </w:tcPr>
          <w:p>
            <w:pPr>
              <w:spacing w:after="0"/>
            </w:pPr>
            <w:r/>
            <w:r>
              <w:rPr>
                <w:b w:val="0"/>
                <w:color w:val="061A33"/>
                <w:sz w:val="16"/>
              </w:rPr>
              <w:t>[Owner]</w:t>
            </w:r>
          </w:p>
        </w:tc>
      </w:tr>
      <w:tr>
        <w:tc>
          <w:tcPr>
            <w:tcW w:type="dxa" w:w="2016"/>
          </w:tcPr>
          <w:p>
            <w:pPr>
              <w:spacing w:after="0"/>
            </w:pPr>
            <w:r/>
            <w:r>
              <w:rPr>
                <w:b w:val="0"/>
                <w:color w:val="061A33"/>
                <w:sz w:val="16"/>
              </w:rPr>
              <w:t>On-Time Delivery</w:t>
            </w:r>
          </w:p>
        </w:tc>
        <w:tc>
          <w:tcPr>
            <w:tcW w:type="dxa" w:w="2016"/>
          </w:tcPr>
          <w:p>
            <w:pPr>
              <w:spacing w:after="0"/>
            </w:pPr>
            <w:r/>
            <w:r>
              <w:rPr>
                <w:b w:val="0"/>
                <w:color w:val="061A33"/>
                <w:sz w:val="16"/>
              </w:rPr>
              <w:t>[e.g., &gt;= 95%]</w:t>
            </w:r>
          </w:p>
        </w:tc>
        <w:tc>
          <w:tcPr>
            <w:tcW w:type="dxa" w:w="2016"/>
          </w:tcPr>
          <w:p>
            <w:pPr>
              <w:spacing w:after="0"/>
            </w:pPr>
            <w:r/>
            <w:r>
              <w:rPr>
                <w:b w:val="0"/>
                <w:color w:val="061A33"/>
                <w:sz w:val="16"/>
              </w:rPr>
              <w:t>Completed by agreed due date</w:t>
            </w:r>
          </w:p>
        </w:tc>
        <w:tc>
          <w:tcPr>
            <w:tcW w:type="dxa" w:w="2016"/>
          </w:tcPr>
          <w:p>
            <w:pPr>
              <w:spacing w:after="0"/>
            </w:pPr>
            <w:r/>
            <w:r>
              <w:rPr>
                <w:b w:val="0"/>
                <w:color w:val="061A33"/>
                <w:sz w:val="16"/>
              </w:rPr>
              <w:t>Monthly</w:t>
            </w:r>
          </w:p>
        </w:tc>
        <w:tc>
          <w:tcPr>
            <w:tcW w:type="dxa" w:w="2016"/>
          </w:tcPr>
          <w:p>
            <w:pPr>
              <w:spacing w:after="0"/>
            </w:pPr>
            <w:r/>
            <w:r>
              <w:rPr>
                <w:b w:val="0"/>
                <w:color w:val="061A33"/>
                <w:sz w:val="16"/>
              </w:rPr>
              <w:t>[Owner]</w:t>
            </w:r>
          </w:p>
        </w:tc>
      </w:tr>
      <w:tr>
        <w:tc>
          <w:tcPr>
            <w:tcW w:type="dxa" w:w="2016"/>
          </w:tcPr>
          <w:p>
            <w:pPr>
              <w:spacing w:after="0"/>
            </w:pPr>
            <w:r/>
            <w:r>
              <w:rPr>
                <w:b w:val="0"/>
                <w:color w:val="061A33"/>
                <w:sz w:val="16"/>
              </w:rPr>
              <w:t>Quality / Rework</w:t>
            </w:r>
          </w:p>
        </w:tc>
        <w:tc>
          <w:tcPr>
            <w:tcW w:type="dxa" w:w="2016"/>
          </w:tcPr>
          <w:p>
            <w:pPr>
              <w:spacing w:after="0"/>
            </w:pPr>
            <w:r/>
            <w:r>
              <w:rPr>
                <w:b w:val="0"/>
                <w:color w:val="061A33"/>
                <w:sz w:val="16"/>
              </w:rPr>
              <w:t>[e.g., &lt;= 3%]</w:t>
            </w:r>
          </w:p>
        </w:tc>
        <w:tc>
          <w:tcPr>
            <w:tcW w:type="dxa" w:w="2016"/>
          </w:tcPr>
          <w:p>
            <w:pPr>
              <w:spacing w:after="0"/>
            </w:pPr>
            <w:r/>
            <w:r>
              <w:rPr>
                <w:b w:val="0"/>
                <w:color w:val="061A33"/>
                <w:sz w:val="16"/>
              </w:rPr>
              <w:t>Reopened or corrected items</w:t>
            </w:r>
          </w:p>
        </w:tc>
        <w:tc>
          <w:tcPr>
            <w:tcW w:type="dxa" w:w="2016"/>
          </w:tcPr>
          <w:p>
            <w:pPr>
              <w:spacing w:after="0"/>
            </w:pPr>
            <w:r/>
            <w:r>
              <w:rPr>
                <w:b w:val="0"/>
                <w:color w:val="061A33"/>
                <w:sz w:val="16"/>
              </w:rPr>
              <w:t>Monthly</w:t>
            </w:r>
          </w:p>
        </w:tc>
        <w:tc>
          <w:tcPr>
            <w:tcW w:type="dxa" w:w="2016"/>
          </w:tcPr>
          <w:p>
            <w:pPr>
              <w:spacing w:after="0"/>
            </w:pPr>
            <w:r/>
            <w:r>
              <w:rPr>
                <w:b w:val="0"/>
                <w:color w:val="061A33"/>
                <w:sz w:val="16"/>
              </w:rPr>
              <w:t>[Owner]</w:t>
            </w:r>
          </w:p>
        </w:tc>
      </w:tr>
      <w:tr>
        <w:tc>
          <w:tcPr>
            <w:tcW w:type="dxa" w:w="2016"/>
          </w:tcPr>
          <w:p>
            <w:pPr>
              <w:spacing w:after="0"/>
            </w:pPr>
            <w:r/>
            <w:r>
              <w:rPr>
                <w:b w:val="0"/>
                <w:color w:val="061A33"/>
                <w:sz w:val="16"/>
              </w:rPr>
              <w:t>Compliance</w:t>
            </w:r>
          </w:p>
        </w:tc>
        <w:tc>
          <w:tcPr>
            <w:tcW w:type="dxa" w:w="2016"/>
          </w:tcPr>
          <w:p>
            <w:pPr>
              <w:spacing w:after="0"/>
            </w:pPr>
            <w:r/>
            <w:r>
              <w:rPr>
                <w:b w:val="0"/>
                <w:color w:val="061A33"/>
                <w:sz w:val="16"/>
              </w:rPr>
              <w:t>[e.g., 100% critical controls]</w:t>
            </w:r>
          </w:p>
        </w:tc>
        <w:tc>
          <w:tcPr>
            <w:tcW w:type="dxa" w:w="2016"/>
          </w:tcPr>
          <w:p>
            <w:pPr>
              <w:spacing w:after="0"/>
            </w:pPr>
            <w:r/>
            <w:r>
              <w:rPr>
                <w:b w:val="0"/>
                <w:color w:val="061A33"/>
                <w:sz w:val="16"/>
              </w:rPr>
              <w:t>Control checklist / audit sample</w:t>
            </w:r>
          </w:p>
        </w:tc>
        <w:tc>
          <w:tcPr>
            <w:tcW w:type="dxa" w:w="2016"/>
          </w:tcPr>
          <w:p>
            <w:pPr>
              <w:spacing w:after="0"/>
            </w:pPr>
            <w:r/>
            <w:r>
              <w:rPr>
                <w:b w:val="0"/>
                <w:color w:val="061A33"/>
                <w:sz w:val="16"/>
              </w:rPr>
              <w:t>Quarterly</w:t>
            </w:r>
          </w:p>
        </w:tc>
        <w:tc>
          <w:tcPr>
            <w:tcW w:type="dxa" w:w="2016"/>
          </w:tcPr>
          <w:p>
            <w:pPr>
              <w:spacing w:after="0"/>
            </w:pPr>
            <w:r/>
            <w:r>
              <w:rPr>
                <w:b w:val="0"/>
                <w:color w:val="061A33"/>
                <w:sz w:val="16"/>
              </w:rPr>
              <w:t>[Owner]</w:t>
            </w:r>
          </w:p>
        </w:tc>
      </w:tr>
    </w:tbl>
    <w:p>
      <w:pPr>
        <w:pStyle w:val="Heading2"/>
      </w:pPr>
      <w:r>
        <w:t>5. Severity and Escalation</w:t>
      </w:r>
    </w:p>
    <w:p>
      <w:pPr>
        <w:spacing w:after="60"/>
      </w:pPr>
      <w:r>
        <w:t>Incidents or requests shall be classified by business impact and urgency.</w:t>
      </w:r>
    </w:p>
    <w:p>
      <w:pPr>
        <w:pStyle w:val="ListBullet"/>
        <w:spacing w:after="20"/>
      </w:pPr>
      <w:r>
        <w:t>Severity 1: business-critical interruption or material compliance exposure.</w:t>
      </w:r>
    </w:p>
    <w:p>
      <w:pPr>
        <w:pStyle w:val="ListBullet"/>
        <w:spacing w:after="20"/>
      </w:pPr>
      <w:r>
        <w:t>Severity 2: high-impact issue with workaround available.</w:t>
      </w:r>
    </w:p>
    <w:p>
      <w:pPr>
        <w:pStyle w:val="ListBullet"/>
        <w:spacing w:after="20"/>
      </w:pPr>
      <w:r>
        <w:t>Severity 3: standard issue or service request.</w:t>
      </w:r>
    </w:p>
    <w:p>
      <w:pPr>
        <w:pStyle w:val="ListBullet"/>
        <w:spacing w:after="20"/>
      </w:pPr>
      <w:r>
        <w:t>Severity 4: information request, enhancement or low-impact issue.</w:t>
      </w:r>
    </w:p>
    <w:p>
      <w:pPr>
        <w:pStyle w:val="Heading2"/>
      </w:pPr>
      <w:r>
        <w:t>6. Reporting and Governance</w:t>
      </w:r>
    </w:p>
    <w:p>
      <w:pPr>
        <w:spacing w:after="60"/>
      </w:pPr>
      <w:r>
        <w:t>The service provider shall provide a regular SLA report showing performance against targets, exceptions, root causes, corrective actions and open risks. Governance cadence: [weekly operational / monthly service review / quarterly executive review].</w:t>
      </w:r>
    </w:p>
    <w:p>
      <w:pPr>
        <w:pStyle w:val="Heading2"/>
      </w:pPr>
      <w:r>
        <w:t>7. Client Responsibilities and Dependencies</w:t>
      </w:r>
    </w:p>
    <w:p>
      <w:pPr>
        <w:spacing w:after="60"/>
      </w:pPr>
      <w:r>
        <w:t>The client shall provide complete inputs, timely approvals, system access, decision owners, and accurate master data. SLA clocks may pause where delays are caused by missing information, unavailable approvals, third-party outages, force majeure, or agreed exclusions.</w:t>
      </w:r>
    </w:p>
    <w:p>
      <w:pPr>
        <w:pStyle w:val="Heading2"/>
      </w:pPr>
      <w:r>
        <w:t>8. Service Credits or Remedies</w:t>
      </w:r>
    </w:p>
    <w:p>
      <w:pPr>
        <w:spacing w:after="60"/>
      </w:pPr>
      <w:r>
        <w:t>Optional: where applicable, define service credits, remediation plans, root-cause reviews or improvement actions. Commercial remedies should be proportionate, measurable and aligned to business impact.</w:t>
      </w:r>
    </w:p>
    <w:p>
      <w:pPr>
        <w:pStyle w:val="Heading2"/>
      </w:pPr>
      <w:r>
        <w:t>9. Change Control</w:t>
      </w:r>
    </w:p>
    <w:p>
      <w:pPr>
        <w:spacing w:after="60"/>
      </w:pPr>
      <w:r>
        <w:t>Changes to scope, volume, systems, service hours, KPI targets, process ownership or governance shall be documented and approved by authorized representatives.</w:t>
      </w:r>
    </w:p>
    <w:p>
      <w:pPr>
        <w:pStyle w:val="Heading2"/>
      </w:pPr>
      <w:r>
        <w:t>10. Security, Data and Confidentiality</w:t>
      </w:r>
    </w:p>
    <w:p>
      <w:pPr>
        <w:spacing w:after="60"/>
      </w:pPr>
      <w:r>
        <w:t>The parties shall comply with agreed security, confidentiality, access, data retention and data protection requirements. Service reports should not expose unnecessary personal, supplier-confidential or commercially sensitive information.</w:t>
      </w:r>
    </w:p>
    <w:p>
      <w:pPr>
        <w:pStyle w:val="Heading2"/>
      </w:pPr>
      <w:r>
        <w:t>Signature</w:t>
      </w:r>
    </w:p>
    <w:tbl>
      <w:tblPr>
        <w:tblStyle w:val="TableGrid"/>
        <w:tblW w:type="auto" w:w="0"/>
        <w:jc w:val="center"/>
        <w:tblLook w:firstColumn="1" w:firstRow="1" w:lastColumn="0" w:lastRow="0" w:noHBand="0" w:noVBand="1" w:val="04A0"/>
      </w:tblPr>
      <w:tblGrid>
        <w:gridCol w:w="5040"/>
        <w:gridCol w:w="5040"/>
      </w:tblGrid>
      <w:tr>
        <w:tc>
          <w:tcPr>
            <w:tcW w:type="dxa" w:w="5040"/>
            <w:shd w:fill="061A33"/>
          </w:tcPr>
          <w:p>
            <w:pPr>
              <w:spacing w:after="0"/>
            </w:pPr>
            <w:r/>
            <w:r>
              <w:rPr>
                <w:b/>
                <w:color w:val="FFFFFF"/>
                <w:sz w:val="18"/>
              </w:rPr>
              <w:t>Client / Customer</w:t>
            </w:r>
          </w:p>
        </w:tc>
        <w:tc>
          <w:tcPr>
            <w:tcW w:type="dxa" w:w="5040"/>
            <w:shd w:fill="061A33"/>
          </w:tcPr>
          <w:p>
            <w:pPr>
              <w:spacing w:after="0"/>
            </w:pPr>
            <w:r/>
            <w:r>
              <w:rPr>
                <w:b/>
                <w:color w:val="FFFFFF"/>
                <w:sz w:val="18"/>
              </w:rPr>
              <w:t>Supplier / Service Provider</w:t>
            </w:r>
          </w:p>
        </w:tc>
      </w:tr>
      <w:tr>
        <w:tc>
          <w:tcPr>
            <w:tcW w:type="dxa" w:w="5040"/>
          </w:tcPr>
          <w:p>
            <w:pPr>
              <w:spacing w:after="0"/>
            </w:pPr>
            <w:r/>
            <w:r>
              <w:rPr>
                <w:b w:val="0"/>
                <w:color w:val="061A33"/>
                <w:sz w:val="18"/>
              </w:rPr>
              <w:t>Name: ______________________________</w:t>
            </w:r>
          </w:p>
        </w:tc>
        <w:tc>
          <w:tcPr>
            <w:tcW w:type="dxa" w:w="5040"/>
          </w:tcPr>
          <w:p>
            <w:pPr>
              <w:spacing w:after="0"/>
            </w:pPr>
            <w:r/>
            <w:r>
              <w:rPr>
                <w:b w:val="0"/>
                <w:color w:val="061A33"/>
                <w:sz w:val="18"/>
              </w:rPr>
              <w:t>Name: ______________________________</w:t>
            </w:r>
          </w:p>
        </w:tc>
      </w:tr>
      <w:tr>
        <w:tc>
          <w:tcPr>
            <w:tcW w:type="dxa" w:w="5040"/>
          </w:tcPr>
          <w:p>
            <w:pPr>
              <w:spacing w:after="0"/>
            </w:pPr>
            <w:r/>
            <w:r>
              <w:rPr>
                <w:b w:val="0"/>
                <w:color w:val="061A33"/>
                <w:sz w:val="18"/>
              </w:rPr>
              <w:t>Title: ______________________________</w:t>
            </w:r>
          </w:p>
        </w:tc>
        <w:tc>
          <w:tcPr>
            <w:tcW w:type="dxa" w:w="5040"/>
          </w:tcPr>
          <w:p>
            <w:pPr>
              <w:spacing w:after="0"/>
            </w:pPr>
            <w:r/>
            <w:r>
              <w:rPr>
                <w:b w:val="0"/>
                <w:color w:val="061A33"/>
                <w:sz w:val="18"/>
              </w:rPr>
              <w:t>Title: ______________________________</w:t>
            </w:r>
          </w:p>
        </w:tc>
      </w:tr>
      <w:tr>
        <w:tc>
          <w:tcPr>
            <w:tcW w:type="dxa" w:w="5040"/>
          </w:tcPr>
          <w:p>
            <w:pPr>
              <w:spacing w:after="0"/>
            </w:pPr>
            <w:r/>
            <w:r>
              <w:rPr>
                <w:b w:val="0"/>
                <w:color w:val="061A33"/>
                <w:sz w:val="18"/>
              </w:rPr>
              <w:t>Date: ______________________________</w:t>
            </w:r>
          </w:p>
        </w:tc>
        <w:tc>
          <w:tcPr>
            <w:tcW w:type="dxa" w:w="5040"/>
          </w:tcPr>
          <w:p>
            <w:pPr>
              <w:spacing w:after="0"/>
            </w:pPr>
            <w:r/>
            <w:r>
              <w:rPr>
                <w:b w:val="0"/>
                <w:color w:val="061A33"/>
                <w:sz w:val="18"/>
              </w:rPr>
              <w:t>Date: ______________________________</w:t>
            </w:r>
          </w:p>
        </w:tc>
      </w:tr>
      <w:tr>
        <w:tc>
          <w:tcPr>
            <w:tcW w:type="dxa" w:w="5040"/>
          </w:tcPr>
          <w:p>
            <w:pPr>
              <w:spacing w:after="0"/>
            </w:pPr>
            <w:r/>
            <w:r>
              <w:rPr>
                <w:b w:val="0"/>
                <w:color w:val="061A33"/>
                <w:sz w:val="18"/>
              </w:rPr>
              <w:t>Signature: ______________________________</w:t>
            </w:r>
          </w:p>
        </w:tc>
        <w:tc>
          <w:tcPr>
            <w:tcW w:type="dxa" w:w="5040"/>
          </w:tcPr>
          <w:p>
            <w:pPr>
              <w:spacing w:after="0"/>
            </w:pPr>
            <w:r/>
            <w:r>
              <w:rPr>
                <w:b w:val="0"/>
                <w:color w:val="061A33"/>
                <w:sz w:val="18"/>
              </w:rPr>
              <w:t>Signature: ______________________________</w:t>
            </w:r>
          </w:p>
        </w:tc>
      </w:tr>
    </w:tbl>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color w:val="C9932D"/>
        <w:sz w:val="16"/>
      </w:rPr>
      <w:t>◇ KULIC ADVISORY  |  https://www.kulicadvisory.com | @KulicAdvisory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061A33"/>
        <w:sz w:val="16"/>
      </w:rPr>
      <w:t>KULIC ADVISORY | SERVICE LEVEL AGREEMENT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61A3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61A3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61A33"/>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04_Service_Level_Agreement_Template</dc:title>
  <dc:subject/>
  <dc:creator>Kulic Advisory</dc:creator>
  <cp:keywords/>
  <dc:description>generated by python-docx</dc:description>
  <cp:lastModifiedBy/>
  <cp:revision>1</cp:revision>
  <dcterms:created xsi:type="dcterms:W3CDTF">2013-12-23T23:15:00Z</dcterms:created>
  <dcterms:modified xsi:type="dcterms:W3CDTF">2013-12-23T23:15:00Z</dcterms:modified>
  <cp:category/>
</cp:coreProperties>
</file>