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b/>
          <w:color w:val="061A33"/>
          <w:sz w:val="44"/>
        </w:rPr>
        <w:t>NON-DISCLOSURE AGREEMENT TEMPLATE</w:t>
      </w:r>
    </w:p>
    <w:p>
      <w:r>
        <w:rPr>
          <w:color w:val="6B7280"/>
          <w:sz w:val="22"/>
        </w:rPr>
        <w:t>Mutual Confidentiality for Procurement, Supply Chain &amp; S2P Discussions</w:t>
      </w:r>
    </w:p>
    <w:p>
      <w:r>
        <w:rPr>
          <w:b/>
          <w:color w:val="E31B23"/>
          <w:sz w:val="16"/>
        </w:rPr>
        <w:t>Procurement, Supply Chain &amp; S2P Toolkit</w:t>
      </w:r>
    </w:p>
    <w:tbl>
      <w:tblPr>
        <w:tblW w:type="auto" w:w="0"/>
        <w:jc w:val="center"/>
        <w:tblLayout w:type="autofit"/>
        <w:tblLook w:firstColumn="1" w:firstRow="1" w:lastColumn="0" w:lastRow="0" w:noHBand="0" w:noVBand="1" w:val="04A0"/>
      </w:tblPr>
      <w:tblGrid>
        <w:gridCol w:w="10080"/>
      </w:tblGrid>
      <w:tr>
        <w:tc>
          <w:tcPr>
            <w:tcW w:type="dxa" w:w="10080"/>
            <w:shd w:fill="FFF7ED"/>
          </w:tcPr>
          <w:p>
            <w:pPr>
              <w:spacing w:after="0"/>
            </w:pPr>
            <w:r/>
            <w:r>
              <w:rPr>
                <w:b w:val="0"/>
                <w:color w:val="061A33"/>
                <w:sz w:val="16"/>
              </w:rPr>
              <w:t>Template note: This document is a practical starting point and not legal advice. Review with qualified counsel before signature or external use.</w:t>
            </w:r>
          </w:p>
        </w:tc>
      </w:tr>
    </w:tbl>
    <w:p/>
    <w:tbl>
      <w:tblPr>
        <w:tblStyle w:val="TableGrid"/>
        <w:tblW w:type="auto" w:w="0"/>
        <w:jc w:val="center"/>
        <w:tblLook w:firstColumn="1" w:firstRow="1" w:lastColumn="0" w:lastRow="0" w:noHBand="0" w:noVBand="1" w:val="04A0"/>
      </w:tblPr>
      <w:tblGrid>
        <w:gridCol w:w="2520"/>
        <w:gridCol w:w="2520"/>
        <w:gridCol w:w="2520"/>
        <w:gridCol w:w="2520"/>
      </w:tblGrid>
      <w:tr>
        <w:tc>
          <w:tcPr>
            <w:tcW w:type="dxa" w:w="2520"/>
            <w:shd w:fill="061A33"/>
            <w:vAlign w:val="center"/>
          </w:tcPr>
          <w:p>
            <w:pPr>
              <w:spacing w:after="0"/>
            </w:pPr>
            <w:r/>
            <w:r>
              <w:rPr>
                <w:b/>
                <w:color w:val="FFFFFF"/>
                <w:sz w:val="16"/>
              </w:rPr>
              <w:t>Effective Date</w:t>
            </w:r>
          </w:p>
        </w:tc>
        <w:tc>
          <w:tcPr>
            <w:tcW w:type="dxa" w:w="2520"/>
            <w:shd w:fill="061A33"/>
            <w:vAlign w:val="center"/>
          </w:tcPr>
          <w:p>
            <w:pPr>
              <w:spacing w:after="0"/>
            </w:pPr>
            <w:r/>
            <w:r>
              <w:rPr>
                <w:b/>
                <w:color w:val="FFFFFF"/>
                <w:sz w:val="16"/>
              </w:rPr>
              <w:t>Disclosing Party</w:t>
            </w:r>
          </w:p>
        </w:tc>
        <w:tc>
          <w:tcPr>
            <w:tcW w:type="dxa" w:w="2520"/>
            <w:shd w:fill="061A33"/>
            <w:vAlign w:val="center"/>
          </w:tcPr>
          <w:p>
            <w:pPr>
              <w:spacing w:after="0"/>
            </w:pPr>
            <w:r/>
            <w:r>
              <w:rPr>
                <w:b/>
                <w:color w:val="FFFFFF"/>
                <w:sz w:val="16"/>
              </w:rPr>
              <w:t>Receiving Party</w:t>
            </w:r>
          </w:p>
        </w:tc>
        <w:tc>
          <w:tcPr>
            <w:tcW w:type="dxa" w:w="2520"/>
            <w:shd w:fill="061A33"/>
            <w:vAlign w:val="center"/>
          </w:tcPr>
          <w:p>
            <w:pPr>
              <w:spacing w:after="0"/>
            </w:pPr>
            <w:r/>
            <w:r>
              <w:rPr>
                <w:b/>
                <w:color w:val="FFFFFF"/>
                <w:sz w:val="16"/>
              </w:rPr>
              <w:t>Purpose</w:t>
            </w:r>
          </w:p>
        </w:tc>
      </w:tr>
      <w:tr>
        <w:tc>
          <w:tcPr>
            <w:tcW w:type="dxa" w:w="2520"/>
            <w:shd w:fill="F7F9FC"/>
            <w:vAlign w:val="center"/>
          </w:tcPr>
          <w:p>
            <w:pPr>
              <w:spacing w:after="0"/>
            </w:pPr>
            <w:r/>
            <w:r>
              <w:rPr>
                <w:b w:val="0"/>
                <w:color w:val="061A33"/>
                <w:sz w:val="16"/>
              </w:rPr>
              <w:t>[DD MMM YYYY]</w:t>
            </w:r>
          </w:p>
        </w:tc>
        <w:tc>
          <w:tcPr>
            <w:tcW w:type="dxa" w:w="2520"/>
            <w:shd w:fill="F7F9FC"/>
            <w:vAlign w:val="center"/>
          </w:tcPr>
          <w:p>
            <w:pPr>
              <w:spacing w:after="0"/>
            </w:pPr>
            <w:r/>
            <w:r>
              <w:rPr>
                <w:b w:val="0"/>
                <w:color w:val="061A33"/>
                <w:sz w:val="16"/>
              </w:rPr>
              <w:t>[Party A]</w:t>
            </w:r>
          </w:p>
        </w:tc>
        <w:tc>
          <w:tcPr>
            <w:tcW w:type="dxa" w:w="2520"/>
            <w:shd w:fill="F7F9FC"/>
            <w:vAlign w:val="center"/>
          </w:tcPr>
          <w:p>
            <w:pPr>
              <w:spacing w:after="0"/>
            </w:pPr>
            <w:r/>
            <w:r>
              <w:rPr>
                <w:b w:val="0"/>
                <w:color w:val="061A33"/>
                <w:sz w:val="16"/>
              </w:rPr>
              <w:t>[Party B]</w:t>
            </w:r>
          </w:p>
        </w:tc>
        <w:tc>
          <w:tcPr>
            <w:tcW w:type="dxa" w:w="2520"/>
            <w:shd w:fill="F7F9FC"/>
            <w:vAlign w:val="center"/>
          </w:tcPr>
          <w:p>
            <w:pPr>
              <w:spacing w:after="0"/>
            </w:pPr>
            <w:r/>
            <w:r>
              <w:rPr>
                <w:b w:val="0"/>
                <w:color w:val="061A33"/>
                <w:sz w:val="16"/>
              </w:rPr>
              <w:t>[Evaluation / Advisory / Project Discussion]</w:t>
            </w:r>
          </w:p>
        </w:tc>
      </w:tr>
    </w:tbl>
    <w:p/>
    <w:p>
      <w:pPr>
        <w:pStyle w:val="Heading2"/>
      </w:pPr>
      <w:r>
        <w:t>1. Purpose</w:t>
      </w:r>
    </w:p>
    <w:p>
      <w:pPr>
        <w:spacing w:after="60"/>
      </w:pPr>
      <w:r>
        <w:t>The parties wish to exchange confidential information for the purpose stated above, including discussions related to procurement, supply chain, S2P, transformation, commercial negotiations, data, digital, AI, supplier management, or operational improvement opportunities.</w:t>
      </w:r>
    </w:p>
    <w:p>
      <w:pPr>
        <w:pStyle w:val="Heading2"/>
      </w:pPr>
      <w:r>
        <w:t>2. Confidential Information</w:t>
      </w:r>
    </w:p>
    <w:p>
      <w:pPr>
        <w:spacing w:after="60"/>
      </w:pPr>
      <w:r>
        <w:t>Confidential Information means non-public information disclosed by or on behalf of a party, whether written, oral, visual, electronic, or otherwise, that is marked confidential or should reasonably be understood as confidential based on its nature or context.</w:t>
      </w:r>
    </w:p>
    <w:p>
      <w:pPr>
        <w:pStyle w:val="ListBullet"/>
        <w:spacing w:after="20"/>
      </w:pPr>
      <w:r>
        <w:t>Commercial terms, pricing, rates, savings, pipeline and supplier information.</w:t>
      </w:r>
    </w:p>
    <w:p>
      <w:pPr>
        <w:pStyle w:val="ListBullet"/>
        <w:spacing w:after="20"/>
      </w:pPr>
      <w:r>
        <w:t>Processes, operating models, organizational design, project plans and transformation roadmaps.</w:t>
      </w:r>
    </w:p>
    <w:p>
      <w:pPr>
        <w:pStyle w:val="ListBullet"/>
        <w:spacing w:after="20"/>
      </w:pPr>
      <w:r>
        <w:t>Data, reports, dashboards, taxonomies, RASCI models, templates, tools and methodologies.</w:t>
      </w:r>
    </w:p>
    <w:p>
      <w:pPr>
        <w:pStyle w:val="ListBullet"/>
        <w:spacing w:after="20"/>
      </w:pPr>
      <w:r>
        <w:t>Technical, digital, AI, security, system and architecture information.</w:t>
      </w:r>
    </w:p>
    <w:p>
      <w:pPr>
        <w:pStyle w:val="Heading2"/>
      </w:pPr>
      <w:r>
        <w:t>3. Exclusions</w:t>
      </w:r>
    </w:p>
    <w:p>
      <w:pPr>
        <w:spacing w:after="60"/>
      </w:pPr>
      <w:r>
        <w:t>Confidential Information does not include information that the receiving party can prove was publicly available without breach, already known without confidentiality restrictions, independently developed without use of the disclosing party information, or lawfully received from a third party without breach of duty.</w:t>
      </w:r>
    </w:p>
    <w:p>
      <w:pPr>
        <w:pStyle w:val="Heading2"/>
      </w:pPr>
      <w:r>
        <w:t>4. Obligations of the Receiving Party</w:t>
      </w:r>
    </w:p>
    <w:p>
      <w:pPr>
        <w:spacing w:after="60"/>
      </w:pPr>
      <w:r>
        <w:t>The receiving party shall use Confidential Information only for the Purpose, protect it with reasonable care, limit access to persons with a need to know, and ensure such persons are bound by confidentiality duties at least as protective as this Agreement.</w:t>
      </w:r>
    </w:p>
    <w:p>
      <w:pPr>
        <w:pStyle w:val="Heading2"/>
      </w:pPr>
      <w:r>
        <w:t>5. Permitted Disclosure</w:t>
      </w:r>
    </w:p>
    <w:p>
      <w:pPr>
        <w:spacing w:after="60"/>
      </w:pPr>
      <w:r>
        <w:t>The receiving party may disclose Confidential Information to its employees, officers, advisors, affiliates, subcontractors, auditors, or professional advisors only where needed for the Purpose and subject to confidentiality obligations. Disclosure required by law is permitted if the receiving party, where legally allowed, provides prompt notice and reasonably cooperates to limit disclosure.</w:t>
      </w:r>
    </w:p>
    <w:p>
      <w:pPr>
        <w:pStyle w:val="Heading2"/>
      </w:pPr>
      <w:r>
        <w:t>6. No License or Obligation</w:t>
      </w:r>
    </w:p>
    <w:p>
      <w:pPr>
        <w:spacing w:after="60"/>
      </w:pPr>
      <w:r>
        <w:t>No intellectual property rights are transferred. No party is required to proceed with any transaction, project, award, engagement, or commercial relationship unless separately agreed in writing.</w:t>
      </w:r>
    </w:p>
    <w:p>
      <w:pPr>
        <w:pStyle w:val="Heading2"/>
      </w:pPr>
      <w:r>
        <w:t>7. Return or Destruction</w:t>
      </w:r>
    </w:p>
    <w:p>
      <w:pPr>
        <w:spacing w:after="60"/>
      </w:pPr>
      <w:r>
        <w:t>Upon request or termination of discussions, the receiving party shall return or destroy Confidential Information, except that one archival copy may be retained where required for legal, compliance or automatic backup purposes, subject to continuing confidentiality obligations.</w:t>
      </w:r>
    </w:p>
    <w:p>
      <w:pPr>
        <w:pStyle w:val="Heading2"/>
      </w:pPr>
      <w:r>
        <w:t>8. Term and Survival</w:t>
      </w:r>
    </w:p>
    <w:p>
      <w:pPr>
        <w:spacing w:after="60"/>
      </w:pPr>
      <w:r>
        <w:t>This Agreement begins on the effective date. Confidentiality obligations survive for [X] years. Trade secrets and highly sensitive information remain protected for as long as they remain legally protectable or confidential by nature.</w:t>
      </w:r>
    </w:p>
    <w:p>
      <w:pPr>
        <w:pStyle w:val="Heading2"/>
      </w:pPr>
      <w:r>
        <w:t>9. Data Protection and Security</w:t>
      </w:r>
    </w:p>
    <w:p>
      <w:pPr>
        <w:spacing w:after="60"/>
      </w:pPr>
      <w:r>
        <w:t>If personal data is exchanged, the parties shall comply with applicable data protection rules and define any required processing instructions, lawful basis, retention limits, access rights, and security measures before exchange.</w:t>
      </w:r>
    </w:p>
    <w:p>
      <w:pPr>
        <w:pStyle w:val="Heading2"/>
      </w:pPr>
      <w:r>
        <w:t>10. Remedies and General Terms</w:t>
      </w:r>
    </w:p>
    <w:p>
      <w:pPr>
        <w:spacing w:after="60"/>
      </w:pPr>
      <w:r>
        <w:t>Unauthorized disclosure may cause irreparable harm. The disclosing party may seek injunctive relief or other remedies available under applicable law. This Agreement is governed by the law stated in the metadata table and may be amended only in writing.</w:t>
      </w:r>
    </w:p>
    <w:p>
      <w:pPr>
        <w:pStyle w:val="Heading2"/>
      </w:pPr>
      <w:r>
        <w:t>Signature</w:t>
      </w:r>
    </w:p>
    <w:tbl>
      <w:tblPr>
        <w:tblStyle w:val="TableGrid"/>
        <w:tblW w:type="auto" w:w="0"/>
        <w:jc w:val="center"/>
        <w:tblLook w:firstColumn="1" w:firstRow="1" w:lastColumn="0" w:lastRow="0" w:noHBand="0" w:noVBand="1" w:val="04A0"/>
      </w:tblPr>
      <w:tblGrid>
        <w:gridCol w:w="5040"/>
        <w:gridCol w:w="5040"/>
      </w:tblGrid>
      <w:tr>
        <w:tc>
          <w:tcPr>
            <w:tcW w:type="dxa" w:w="5040"/>
            <w:shd w:fill="061A33"/>
          </w:tcPr>
          <w:p>
            <w:pPr>
              <w:spacing w:after="0"/>
            </w:pPr>
            <w:r/>
            <w:r>
              <w:rPr>
                <w:b/>
                <w:color w:val="FFFFFF"/>
                <w:sz w:val="18"/>
              </w:rPr>
              <w:t>Client / Customer</w:t>
            </w:r>
          </w:p>
        </w:tc>
        <w:tc>
          <w:tcPr>
            <w:tcW w:type="dxa" w:w="5040"/>
            <w:shd w:fill="061A33"/>
          </w:tcPr>
          <w:p>
            <w:pPr>
              <w:spacing w:after="0"/>
            </w:pPr>
            <w:r/>
            <w:r>
              <w:rPr>
                <w:b/>
                <w:color w:val="FFFFFF"/>
                <w:sz w:val="18"/>
              </w:rPr>
              <w:t>Supplier / Service Provider</w:t>
            </w:r>
          </w:p>
        </w:tc>
      </w:tr>
      <w:tr>
        <w:tc>
          <w:tcPr>
            <w:tcW w:type="dxa" w:w="5040"/>
          </w:tcPr>
          <w:p>
            <w:pPr>
              <w:spacing w:after="0"/>
            </w:pPr>
            <w:r/>
            <w:r>
              <w:rPr>
                <w:b w:val="0"/>
                <w:color w:val="061A33"/>
                <w:sz w:val="18"/>
              </w:rPr>
              <w:t>Name: ______________________________</w:t>
            </w:r>
          </w:p>
        </w:tc>
        <w:tc>
          <w:tcPr>
            <w:tcW w:type="dxa" w:w="5040"/>
          </w:tcPr>
          <w:p>
            <w:pPr>
              <w:spacing w:after="0"/>
            </w:pPr>
            <w:r/>
            <w:r>
              <w:rPr>
                <w:b w:val="0"/>
                <w:color w:val="061A33"/>
                <w:sz w:val="18"/>
              </w:rPr>
              <w:t>Name: ______________________________</w:t>
            </w:r>
          </w:p>
        </w:tc>
      </w:tr>
      <w:tr>
        <w:tc>
          <w:tcPr>
            <w:tcW w:type="dxa" w:w="5040"/>
          </w:tcPr>
          <w:p>
            <w:pPr>
              <w:spacing w:after="0"/>
            </w:pPr>
            <w:r/>
            <w:r>
              <w:rPr>
                <w:b w:val="0"/>
                <w:color w:val="061A33"/>
                <w:sz w:val="18"/>
              </w:rPr>
              <w:t>Title: ______________________________</w:t>
            </w:r>
          </w:p>
        </w:tc>
        <w:tc>
          <w:tcPr>
            <w:tcW w:type="dxa" w:w="5040"/>
          </w:tcPr>
          <w:p>
            <w:pPr>
              <w:spacing w:after="0"/>
            </w:pPr>
            <w:r/>
            <w:r>
              <w:rPr>
                <w:b w:val="0"/>
                <w:color w:val="061A33"/>
                <w:sz w:val="18"/>
              </w:rPr>
              <w:t>Title: ______________________________</w:t>
            </w:r>
          </w:p>
        </w:tc>
      </w:tr>
      <w:tr>
        <w:tc>
          <w:tcPr>
            <w:tcW w:type="dxa" w:w="5040"/>
          </w:tcPr>
          <w:p>
            <w:pPr>
              <w:spacing w:after="0"/>
            </w:pPr>
            <w:r/>
            <w:r>
              <w:rPr>
                <w:b w:val="0"/>
                <w:color w:val="061A33"/>
                <w:sz w:val="18"/>
              </w:rPr>
              <w:t>Date: ______________________________</w:t>
            </w:r>
          </w:p>
        </w:tc>
        <w:tc>
          <w:tcPr>
            <w:tcW w:type="dxa" w:w="5040"/>
          </w:tcPr>
          <w:p>
            <w:pPr>
              <w:spacing w:after="0"/>
            </w:pPr>
            <w:r/>
            <w:r>
              <w:rPr>
                <w:b w:val="0"/>
                <w:color w:val="061A33"/>
                <w:sz w:val="18"/>
              </w:rPr>
              <w:t>Date: ______________________________</w:t>
            </w:r>
          </w:p>
        </w:tc>
      </w:tr>
      <w:tr>
        <w:tc>
          <w:tcPr>
            <w:tcW w:type="dxa" w:w="5040"/>
          </w:tcPr>
          <w:p>
            <w:pPr>
              <w:spacing w:after="0"/>
            </w:pPr>
            <w:r/>
            <w:r>
              <w:rPr>
                <w:b w:val="0"/>
                <w:color w:val="061A33"/>
                <w:sz w:val="18"/>
              </w:rPr>
              <w:t>Signature: ______________________________</w:t>
            </w:r>
          </w:p>
        </w:tc>
        <w:tc>
          <w:tcPr>
            <w:tcW w:type="dxa" w:w="5040"/>
          </w:tcPr>
          <w:p>
            <w:pPr>
              <w:spacing w:after="0"/>
            </w:pPr>
            <w:r/>
            <w:r>
              <w:rPr>
                <w:b w:val="0"/>
                <w:color w:val="061A33"/>
                <w:sz w:val="18"/>
              </w:rPr>
              <w:t>Signature: ______________________________</w:t>
            </w:r>
          </w:p>
        </w:tc>
      </w:tr>
    </w:tbl>
    <w:sectPr w:rsidR="00FC693F" w:rsidRPr="0006063C" w:rsidSect="00034616">
      <w:headerReference w:type="default" r:id="rId9"/>
      <w:footerReference w:type="default" r:id="rId10"/>
      <w:pgSz w:w="12240" w:h="15840"/>
      <w:pgMar w:top="1008" w:right="1080" w:bottom="100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b/>
        <w:color w:val="C9932D"/>
        <w:sz w:val="16"/>
      </w:rPr>
      <w:t>◇ KULIC ADVISORY  |  https://www.kulicadvisory.com | @KulicAdvisory</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b/>
        <w:color w:val="061A33"/>
        <w:sz w:val="16"/>
      </w:rPr>
      <w:t>KULIC ADVISORY | NON-DISCLOSURE AGREEMENT TEMPLATE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061A33"/>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061A33"/>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b/>
      <w:bCs/>
      <w:color w:val="061A33"/>
      <w:sz w:val="20"/>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03_NDA_Template</dc:title>
  <dc:subject/>
  <dc:creator>Kulic Advisory</dc:creator>
  <cp:keywords/>
  <dc:description>generated by python-docx</dc:description>
  <cp:lastModifiedBy/>
  <cp:revision>1</cp:revision>
  <dcterms:created xsi:type="dcterms:W3CDTF">2013-12-23T23:15:00Z</dcterms:created>
  <dcterms:modified xsi:type="dcterms:W3CDTF">2013-12-23T23:15:00Z</dcterms:modified>
  <cp:category/>
</cp:coreProperties>
</file>