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61A33"/>
          <w:sz w:val="44"/>
        </w:rPr>
        <w:t>MASTER SERVICE AGREEMENT TEMPLATE</w:t>
      </w:r>
    </w:p>
    <w:p>
      <w:r>
        <w:rPr>
          <w:color w:val="6B7280"/>
          <w:sz w:val="22"/>
        </w:rPr>
        <w:t>Procurement, Supply Chain &amp; S2P Advisory / Transformation Services</w:t>
      </w:r>
    </w:p>
    <w:p>
      <w:r>
        <w:rPr>
          <w:b/>
          <w:color w:val="E31B23"/>
          <w:sz w:val="16"/>
        </w:rPr>
        <w:t>Procurement, Supply Chain &amp; S2P Toolkit</w:t>
      </w:r>
    </w:p>
    <w:tbl>
      <w:tblPr>
        <w:tblW w:type="auto" w:w="0"/>
        <w:jc w:val="center"/>
        <w:tblLayout w:type="autofit"/>
        <w:tblLook w:firstColumn="1" w:firstRow="1" w:lastColumn="0" w:lastRow="0" w:noHBand="0" w:noVBand="1" w:val="04A0"/>
      </w:tblPr>
      <w:tblGrid>
        <w:gridCol w:w="10080"/>
      </w:tblGrid>
      <w:tr>
        <w:tc>
          <w:tcPr>
            <w:tcW w:type="dxa" w:w="10080"/>
            <w:shd w:fill="FFF7ED"/>
          </w:tcPr>
          <w:p>
            <w:pPr>
              <w:spacing w:after="0"/>
            </w:pPr>
            <w:r/>
            <w:r>
              <w:rPr>
                <w:b w:val="0"/>
                <w:color w:val="061A33"/>
                <w:sz w:val="16"/>
              </w:rPr>
              <w:t>Template note: This document is a practical starting point and not legal advice. Review with qualified counsel before signature or external use.</w:t>
            </w:r>
          </w:p>
        </w:tc>
      </w:tr>
    </w:tbl>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061A33"/>
            <w:vAlign w:val="center"/>
          </w:tcPr>
          <w:p>
            <w:pPr>
              <w:spacing w:after="0"/>
            </w:pPr>
            <w:r/>
            <w:r>
              <w:rPr>
                <w:b/>
                <w:color w:val="FFFFFF"/>
                <w:sz w:val="16"/>
              </w:rPr>
              <w:t>Agreement Date</w:t>
            </w:r>
          </w:p>
        </w:tc>
        <w:tc>
          <w:tcPr>
            <w:tcW w:type="dxa" w:w="2520"/>
            <w:shd w:fill="061A33"/>
            <w:vAlign w:val="center"/>
          </w:tcPr>
          <w:p>
            <w:pPr>
              <w:spacing w:after="0"/>
            </w:pPr>
            <w:r/>
            <w:r>
              <w:rPr>
                <w:b/>
                <w:color w:val="FFFFFF"/>
                <w:sz w:val="16"/>
              </w:rPr>
              <w:t>Client</w:t>
            </w:r>
          </w:p>
        </w:tc>
        <w:tc>
          <w:tcPr>
            <w:tcW w:type="dxa" w:w="2520"/>
            <w:shd w:fill="061A33"/>
            <w:vAlign w:val="center"/>
          </w:tcPr>
          <w:p>
            <w:pPr>
              <w:spacing w:after="0"/>
            </w:pPr>
            <w:r/>
            <w:r>
              <w:rPr>
                <w:b/>
                <w:color w:val="FFFFFF"/>
                <w:sz w:val="16"/>
              </w:rPr>
              <w:t>Service Provider</w:t>
            </w:r>
          </w:p>
        </w:tc>
        <w:tc>
          <w:tcPr>
            <w:tcW w:type="dxa" w:w="2520"/>
            <w:shd w:fill="061A33"/>
            <w:vAlign w:val="center"/>
          </w:tcPr>
          <w:p>
            <w:pPr>
              <w:spacing w:after="0"/>
            </w:pPr>
            <w:r/>
            <w:r>
              <w:rPr>
                <w:b/>
                <w:color w:val="FFFFFF"/>
                <w:sz w:val="16"/>
              </w:rPr>
              <w:t>Governing Law</w:t>
            </w:r>
          </w:p>
        </w:tc>
      </w:tr>
      <w:tr>
        <w:tc>
          <w:tcPr>
            <w:tcW w:type="dxa" w:w="2520"/>
            <w:shd w:fill="F7F9FC"/>
            <w:vAlign w:val="center"/>
          </w:tcPr>
          <w:p>
            <w:pPr>
              <w:spacing w:after="0"/>
            </w:pPr>
            <w:r/>
            <w:r>
              <w:rPr>
                <w:b w:val="0"/>
                <w:color w:val="061A33"/>
                <w:sz w:val="16"/>
              </w:rPr>
              <w:t>[DD MMM YYYY]</w:t>
            </w:r>
          </w:p>
        </w:tc>
        <w:tc>
          <w:tcPr>
            <w:tcW w:type="dxa" w:w="2520"/>
            <w:shd w:fill="F7F9FC"/>
            <w:vAlign w:val="center"/>
          </w:tcPr>
          <w:p>
            <w:pPr>
              <w:spacing w:after="0"/>
            </w:pPr>
            <w:r/>
            <w:r>
              <w:rPr>
                <w:b w:val="0"/>
                <w:color w:val="061A33"/>
                <w:sz w:val="16"/>
              </w:rPr>
              <w:t>[Client Legal Name]</w:t>
            </w:r>
          </w:p>
        </w:tc>
        <w:tc>
          <w:tcPr>
            <w:tcW w:type="dxa" w:w="2520"/>
            <w:shd w:fill="F7F9FC"/>
            <w:vAlign w:val="center"/>
          </w:tcPr>
          <w:p>
            <w:pPr>
              <w:spacing w:after="0"/>
            </w:pPr>
            <w:r/>
            <w:r>
              <w:rPr>
                <w:b w:val="0"/>
                <w:color w:val="061A33"/>
                <w:sz w:val="16"/>
              </w:rPr>
              <w:t>[Supplier / Advisor Legal Name]</w:t>
            </w:r>
          </w:p>
        </w:tc>
        <w:tc>
          <w:tcPr>
            <w:tcW w:type="dxa" w:w="2520"/>
            <w:shd w:fill="F7F9FC"/>
            <w:vAlign w:val="center"/>
          </w:tcPr>
          <w:p>
            <w:pPr>
              <w:spacing w:after="0"/>
            </w:pPr>
            <w:r/>
            <w:r>
              <w:rPr>
                <w:b w:val="0"/>
                <w:color w:val="061A33"/>
                <w:sz w:val="16"/>
              </w:rPr>
              <w:t>[Jurisdiction]</w:t>
            </w:r>
          </w:p>
        </w:tc>
      </w:tr>
    </w:tbl>
    <w:p/>
    <w:p>
      <w:pPr>
        <w:pStyle w:val="Heading2"/>
      </w:pPr>
      <w:r>
        <w:t>1. Parties and Background</w:t>
      </w:r>
    </w:p>
    <w:p>
      <w:pPr>
        <w:spacing w:after="60"/>
      </w:pPr>
      <w:r>
        <w:t>This Master Service Agreement ("Agreement") is entered into by and between the parties named above. The Agreement sets the general commercial and operational terms under which the Service Provider may deliver advisory, consulting, transformation, procurement, supply chain, digital, data, or S2P-related services through one or more Statements of Work.</w:t>
      </w:r>
    </w:p>
    <w:p>
      <w:pPr>
        <w:pStyle w:val="Heading2"/>
      </w:pPr>
      <w:r>
        <w:t>2. Scope of Services</w:t>
      </w:r>
    </w:p>
    <w:p>
      <w:pPr>
        <w:spacing w:after="60"/>
      </w:pPr>
      <w:r>
        <w:t>Services shall be defined in signed Statements of Work. Each Statement of Work should describe scope, deliverables, milestones, assumptions, client dependencies, fees, governance cadence, and acceptance criteria. If there is a conflict, the Statement of Work prevails for project-specific terms and this Agreement prevails for general legal and commercial terms.</w:t>
      </w:r>
    </w:p>
    <w:p>
      <w:pPr>
        <w:pStyle w:val="Heading2"/>
      </w:pPr>
      <w:r>
        <w:t>3. Governance and Working Model</w:t>
      </w:r>
    </w:p>
    <w:p>
      <w:pPr>
        <w:spacing w:after="60"/>
      </w:pPr>
      <w:r>
        <w:t>The parties shall define a practical governance model for each engagement.</w:t>
      </w:r>
    </w:p>
    <w:p>
      <w:pPr>
        <w:pStyle w:val="ListBullet"/>
        <w:spacing w:after="20"/>
      </w:pPr>
      <w:r>
        <w:t>Named executive sponsor and day-to-day owners.</w:t>
      </w:r>
    </w:p>
    <w:p>
      <w:pPr>
        <w:pStyle w:val="ListBullet"/>
        <w:spacing w:after="20"/>
      </w:pPr>
      <w:r>
        <w:t>Regular status cadence and decision forums.</w:t>
      </w:r>
    </w:p>
    <w:p>
      <w:pPr>
        <w:pStyle w:val="ListBullet"/>
        <w:spacing w:after="20"/>
      </w:pPr>
      <w:r>
        <w:t>Issue, risk, dependency and change-control tracking.</w:t>
      </w:r>
    </w:p>
    <w:p>
      <w:pPr>
        <w:pStyle w:val="ListBullet"/>
        <w:spacing w:after="20"/>
      </w:pPr>
      <w:r>
        <w:t>Clear escalation path for decisions that affect scope, timing, quality or cost.</w:t>
      </w:r>
    </w:p>
    <w:p>
      <w:pPr>
        <w:pStyle w:val="Heading2"/>
      </w:pPr>
      <w:r>
        <w:t>4. Fees, Invoicing and Payment</w:t>
      </w:r>
    </w:p>
    <w:p>
      <w:pPr>
        <w:spacing w:after="60"/>
      </w:pPr>
      <w:r>
        <w:t>Fees may be fixed, time-and-materials, retainer-based, success-linked, or another agreed model as stated in the relevant Statement of Work. Invoices shall be issued according to the agreed billing schedule. Payment terms shall be [X] days from receipt of a valid invoice unless otherwise stated in the Statement of Work. Taxes, expenses and currency shall be handled as agreed in the Statement of Work.</w:t>
      </w:r>
    </w:p>
    <w:p>
      <w:pPr>
        <w:pStyle w:val="Heading2"/>
      </w:pPr>
      <w:r>
        <w:t>5. Client Responsibilities</w:t>
      </w:r>
    </w:p>
    <w:p>
      <w:pPr>
        <w:spacing w:after="60"/>
      </w:pPr>
      <w:r>
        <w:t>The Client shall provide timely access to relevant stakeholders, data, systems, documentation and decisions needed for delivery. Delays caused by missing access, unavailable stakeholders, unclear approvals, or incomplete information may require an agreed change to timing, scope or fees.</w:t>
      </w:r>
    </w:p>
    <w:p>
      <w:pPr>
        <w:pStyle w:val="Heading2"/>
      </w:pPr>
      <w:r>
        <w:t>6. Deliverables and Acceptance</w:t>
      </w:r>
    </w:p>
    <w:p>
      <w:pPr>
        <w:spacing w:after="60"/>
      </w:pPr>
      <w:r>
        <w:t>Deliverables are accepted when they materially conform to the agreed acceptance criteria. The Client shall review deliverables within [X] business days and provide consolidated written feedback. If no material rejection is provided within that period, the deliverable is deemed accepted.</w:t>
      </w:r>
    </w:p>
    <w:p>
      <w:pPr>
        <w:pStyle w:val="Heading2"/>
      </w:pPr>
      <w:r>
        <w:t>7. Confidentiality</w:t>
      </w:r>
    </w:p>
    <w:p>
      <w:pPr>
        <w:spacing w:after="60"/>
      </w:pPr>
      <w:r>
        <w:t>Each party shall protect confidential information with reasonable care and use it only for the purpose of the engagement. Confidentiality obligations survive termination for [X] years, or longer where trade secrets or law require.</w:t>
      </w:r>
    </w:p>
    <w:p>
      <w:pPr>
        <w:pStyle w:val="Heading2"/>
      </w:pPr>
      <w:r>
        <w:t>8. Data Protection, Security and Compliance</w:t>
      </w:r>
    </w:p>
    <w:p>
      <w:pPr>
        <w:spacing w:after="60"/>
      </w:pPr>
      <w:r>
        <w:t>Where personal data, confidential supplier data, or commercially sensitive data is processed, the parties shall define roles, purposes, access rights, security controls, retention rules and any required data processing terms. The parties shall comply with applicable data protection, anti-bribery, sanctions, competition, information security, and procurement compliance requirements.</w:t>
      </w:r>
    </w:p>
    <w:p>
      <w:pPr>
        <w:pStyle w:val="Heading2"/>
      </w:pPr>
      <w:r>
        <w:t>9. Intellectual Property</w:t>
      </w:r>
    </w:p>
    <w:p>
      <w:pPr>
        <w:spacing w:after="60"/>
      </w:pPr>
      <w:r>
        <w:t>Pre-existing materials, frameworks, know-how, methods, tools and templates remain owned by the party that created or owned them before the engagement. Unless otherwise agreed, the Client receives a non-exclusive internal-use license to final deliverables for its own business purposes. The Service Provider may reuse general know-how and non-confidential methods developed during the engagement.</w:t>
      </w:r>
    </w:p>
    <w:p>
      <w:pPr>
        <w:pStyle w:val="Heading2"/>
      </w:pPr>
      <w:r>
        <w:t>10. Warranties and Professional Standard</w:t>
      </w:r>
    </w:p>
    <w:p>
      <w:pPr>
        <w:spacing w:after="60"/>
      </w:pPr>
      <w:r>
        <w:t>The Service Provider shall perform the services in a professional manner using reasonable skill and care. Any warranties not expressly stated in this Agreement are excluded to the maximum extent permitted by applicable law.</w:t>
      </w:r>
    </w:p>
    <w:p>
      <w:pPr>
        <w:pStyle w:val="Heading2"/>
      </w:pPr>
      <w:r>
        <w:t>11. Liability</w:t>
      </w:r>
    </w:p>
    <w:p>
      <w:pPr>
        <w:spacing w:after="60"/>
      </w:pPr>
      <w:r>
        <w:t>The parties should agree appropriate liability limits, exclusions, and carve-outs based on the nature of the engagement, applicable law and risk profile. Placeholder: total aggregate liability shall not exceed [amount / fees paid in prior X months], except for [fraud, wilful misconduct, confidentiality breach, data protection breach, IP infringement, or other agreed carve-outs].</w:t>
      </w:r>
    </w:p>
    <w:p>
      <w:pPr>
        <w:pStyle w:val="Heading2"/>
      </w:pPr>
      <w:r>
        <w:t>12. Term and Termination</w:t>
      </w:r>
    </w:p>
    <w:p>
      <w:pPr>
        <w:spacing w:after="60"/>
      </w:pPr>
      <w:r>
        <w:t>This Agreement starts on the effective date and continues until terminated. Either party may terminate for convenience with [X] days written notice or for material breach if the breach is not cured within [X] days after written notice. Termination does not affect accrued payment obligations, confidentiality, IP, data protection, liability, or other surviving provisions.</w:t>
      </w:r>
    </w:p>
    <w:p>
      <w:pPr>
        <w:pStyle w:val="Heading2"/>
      </w:pPr>
      <w:r>
        <w:t>13. General Terms</w:t>
      </w:r>
    </w:p>
    <w:p>
      <w:pPr>
        <w:spacing w:after="60"/>
      </w:pPr>
      <w:r>
        <w:t>This Agreement includes the full understanding between the parties on its subject matter. Amendments must be in writing and signed or otherwise approved by authorized representatives. Neither party may assign the Agreement without prior written consent except as part of a merger, acquisition, restructuring, or transfer of substantially all relevant business assets.</w:t>
      </w:r>
    </w:p>
    <w:p>
      <w:pPr>
        <w:pStyle w:val="Heading2"/>
      </w:pPr>
      <w:r>
        <w:t>Signature</w:t>
      </w:r>
    </w:p>
    <w:tbl>
      <w:tblPr>
        <w:tblStyle w:val="TableGrid"/>
        <w:tblW w:type="auto" w:w="0"/>
        <w:jc w:val="center"/>
        <w:tblLook w:firstColumn="1" w:firstRow="1" w:lastColumn="0" w:lastRow="0" w:noHBand="0" w:noVBand="1" w:val="04A0"/>
      </w:tblPr>
      <w:tblGrid>
        <w:gridCol w:w="5040"/>
        <w:gridCol w:w="5040"/>
      </w:tblGrid>
      <w:tr>
        <w:tc>
          <w:tcPr>
            <w:tcW w:type="dxa" w:w="5040"/>
            <w:shd w:fill="061A33"/>
          </w:tcPr>
          <w:p>
            <w:pPr>
              <w:spacing w:after="0"/>
            </w:pPr>
            <w:r/>
            <w:r>
              <w:rPr>
                <w:b/>
                <w:color w:val="FFFFFF"/>
                <w:sz w:val="18"/>
              </w:rPr>
              <w:t>Client / Customer</w:t>
            </w:r>
          </w:p>
        </w:tc>
        <w:tc>
          <w:tcPr>
            <w:tcW w:type="dxa" w:w="5040"/>
            <w:shd w:fill="061A33"/>
          </w:tcPr>
          <w:p>
            <w:pPr>
              <w:spacing w:after="0"/>
            </w:pPr>
            <w:r/>
            <w:r>
              <w:rPr>
                <w:b/>
                <w:color w:val="FFFFFF"/>
                <w:sz w:val="18"/>
              </w:rPr>
              <w:t>Supplier / Service Provider</w:t>
            </w:r>
          </w:p>
        </w:tc>
      </w:tr>
      <w:tr>
        <w:tc>
          <w:tcPr>
            <w:tcW w:type="dxa" w:w="5040"/>
          </w:tcPr>
          <w:p>
            <w:pPr>
              <w:spacing w:after="0"/>
            </w:pPr>
            <w:r/>
            <w:r>
              <w:rPr>
                <w:b w:val="0"/>
                <w:color w:val="061A33"/>
                <w:sz w:val="18"/>
              </w:rPr>
              <w:t>Name: ______________________________</w:t>
            </w:r>
          </w:p>
        </w:tc>
        <w:tc>
          <w:tcPr>
            <w:tcW w:type="dxa" w:w="5040"/>
          </w:tcPr>
          <w:p>
            <w:pPr>
              <w:spacing w:after="0"/>
            </w:pPr>
            <w:r/>
            <w:r>
              <w:rPr>
                <w:b w:val="0"/>
                <w:color w:val="061A33"/>
                <w:sz w:val="18"/>
              </w:rPr>
              <w:t>Name: ______________________________</w:t>
            </w:r>
          </w:p>
        </w:tc>
      </w:tr>
      <w:tr>
        <w:tc>
          <w:tcPr>
            <w:tcW w:type="dxa" w:w="5040"/>
          </w:tcPr>
          <w:p>
            <w:pPr>
              <w:spacing w:after="0"/>
            </w:pPr>
            <w:r/>
            <w:r>
              <w:rPr>
                <w:b w:val="0"/>
                <w:color w:val="061A33"/>
                <w:sz w:val="18"/>
              </w:rPr>
              <w:t>Title: ______________________________</w:t>
            </w:r>
          </w:p>
        </w:tc>
        <w:tc>
          <w:tcPr>
            <w:tcW w:type="dxa" w:w="5040"/>
          </w:tcPr>
          <w:p>
            <w:pPr>
              <w:spacing w:after="0"/>
            </w:pPr>
            <w:r/>
            <w:r>
              <w:rPr>
                <w:b w:val="0"/>
                <w:color w:val="061A33"/>
                <w:sz w:val="18"/>
              </w:rPr>
              <w:t>Title: ______________________________</w:t>
            </w:r>
          </w:p>
        </w:tc>
      </w:tr>
      <w:tr>
        <w:tc>
          <w:tcPr>
            <w:tcW w:type="dxa" w:w="5040"/>
          </w:tcPr>
          <w:p>
            <w:pPr>
              <w:spacing w:after="0"/>
            </w:pPr>
            <w:r/>
            <w:r>
              <w:rPr>
                <w:b w:val="0"/>
                <w:color w:val="061A33"/>
                <w:sz w:val="18"/>
              </w:rPr>
              <w:t>Date: ______________________________</w:t>
            </w:r>
          </w:p>
        </w:tc>
        <w:tc>
          <w:tcPr>
            <w:tcW w:type="dxa" w:w="5040"/>
          </w:tcPr>
          <w:p>
            <w:pPr>
              <w:spacing w:after="0"/>
            </w:pPr>
            <w:r/>
            <w:r>
              <w:rPr>
                <w:b w:val="0"/>
                <w:color w:val="061A33"/>
                <w:sz w:val="18"/>
              </w:rPr>
              <w:t>Date: ______________________________</w:t>
            </w:r>
          </w:p>
        </w:tc>
      </w:tr>
      <w:tr>
        <w:tc>
          <w:tcPr>
            <w:tcW w:type="dxa" w:w="5040"/>
          </w:tcPr>
          <w:p>
            <w:pPr>
              <w:spacing w:after="0"/>
            </w:pPr>
            <w:r/>
            <w:r>
              <w:rPr>
                <w:b w:val="0"/>
                <w:color w:val="061A33"/>
                <w:sz w:val="18"/>
              </w:rPr>
              <w:t>Signature: ______________________________</w:t>
            </w:r>
          </w:p>
        </w:tc>
        <w:tc>
          <w:tcPr>
            <w:tcW w:type="dxa" w:w="5040"/>
          </w:tcPr>
          <w:p>
            <w:pPr>
              <w:spacing w:after="0"/>
            </w:pPr>
            <w:r/>
            <w:r>
              <w:rPr>
                <w:b w:val="0"/>
                <w:color w:val="061A33"/>
                <w:sz w:val="18"/>
              </w:rPr>
              <w:t>Signature: ______________________________</w:t>
            </w:r>
          </w:p>
        </w:tc>
      </w:tr>
    </w:tbl>
    <w:p>
      <w:r>
        <w:br w:type="page"/>
      </w:r>
    </w:p>
    <w:p>
      <w:pPr>
        <w:pStyle w:val="Heading1"/>
      </w:pPr>
      <w:r>
        <w:t>Appendix A - Statement of Work Template</w:t>
      </w:r>
    </w:p>
    <w:tbl>
      <w:tblPr>
        <w:tblStyle w:val="TableGrid"/>
        <w:tblW w:type="auto" w:w="0"/>
        <w:tblLook w:firstColumn="1" w:firstRow="1" w:lastColumn="0" w:lastRow="0" w:noHBand="0" w:noVBand="1" w:val="04A0"/>
      </w:tblPr>
      <w:tblGrid>
        <w:gridCol w:w="5040"/>
        <w:gridCol w:w="5040"/>
      </w:tblGrid>
      <w:tr>
        <w:tc>
          <w:tcPr>
            <w:tcW w:type="dxa" w:w="5040"/>
            <w:shd w:fill="F7F9FC"/>
          </w:tcPr>
          <w:p>
            <w:pPr>
              <w:spacing w:after="0"/>
            </w:pPr>
            <w:r/>
            <w:r>
              <w:rPr>
                <w:b/>
                <w:color w:val="061A33"/>
                <w:sz w:val="18"/>
              </w:rPr>
              <w:t>SOW Title</w:t>
            </w:r>
          </w:p>
        </w:tc>
        <w:tc>
          <w:tcPr>
            <w:tcW w:type="dxa" w:w="5040"/>
          </w:tcPr>
          <w:p>
            <w:pPr>
              <w:spacing w:after="0"/>
            </w:pPr>
            <w:r/>
            <w:r>
              <w:rPr>
                <w:b w:val="0"/>
                <w:color w:val="061A33"/>
                <w:sz w:val="18"/>
              </w:rPr>
              <w:t>[Project / Engagement Name]</w:t>
            </w:r>
          </w:p>
        </w:tc>
      </w:tr>
      <w:tr>
        <w:tc>
          <w:tcPr>
            <w:tcW w:type="dxa" w:w="5040"/>
            <w:shd w:fill="F7F9FC"/>
          </w:tcPr>
          <w:p>
            <w:pPr>
              <w:spacing w:after="0"/>
            </w:pPr>
            <w:r/>
            <w:r>
              <w:rPr>
                <w:b/>
                <w:color w:val="061A33"/>
                <w:sz w:val="18"/>
              </w:rPr>
              <w:t>Business Problem</w:t>
            </w:r>
          </w:p>
        </w:tc>
        <w:tc>
          <w:tcPr>
            <w:tcW w:type="dxa" w:w="5040"/>
          </w:tcPr>
          <w:p>
            <w:pPr>
              <w:spacing w:after="0"/>
            </w:pPr>
            <w:r/>
            <w:r>
              <w:rPr>
                <w:b w:val="0"/>
                <w:color w:val="061A33"/>
                <w:sz w:val="18"/>
              </w:rPr>
              <w:t>[Why this work is needed now]</w:t>
            </w:r>
          </w:p>
        </w:tc>
      </w:tr>
      <w:tr>
        <w:tc>
          <w:tcPr>
            <w:tcW w:type="dxa" w:w="5040"/>
            <w:shd w:fill="F7F9FC"/>
          </w:tcPr>
          <w:p>
            <w:pPr>
              <w:spacing w:after="0"/>
            </w:pPr>
            <w:r/>
            <w:r>
              <w:rPr>
                <w:b/>
                <w:color w:val="061A33"/>
                <w:sz w:val="18"/>
              </w:rPr>
              <w:t>Scope</w:t>
            </w:r>
          </w:p>
        </w:tc>
        <w:tc>
          <w:tcPr>
            <w:tcW w:type="dxa" w:w="5040"/>
          </w:tcPr>
          <w:p>
            <w:pPr>
              <w:spacing w:after="0"/>
            </w:pPr>
            <w:r/>
            <w:r>
              <w:rPr>
                <w:b w:val="0"/>
                <w:color w:val="061A33"/>
                <w:sz w:val="18"/>
              </w:rPr>
              <w:t>[In scope / out of scope]</w:t>
            </w:r>
          </w:p>
        </w:tc>
      </w:tr>
      <w:tr>
        <w:tc>
          <w:tcPr>
            <w:tcW w:type="dxa" w:w="5040"/>
            <w:shd w:fill="F7F9FC"/>
          </w:tcPr>
          <w:p>
            <w:pPr>
              <w:spacing w:after="0"/>
            </w:pPr>
            <w:r/>
            <w:r>
              <w:rPr>
                <w:b/>
                <w:color w:val="061A33"/>
                <w:sz w:val="18"/>
              </w:rPr>
              <w:t>Deliverables</w:t>
            </w:r>
          </w:p>
        </w:tc>
        <w:tc>
          <w:tcPr>
            <w:tcW w:type="dxa" w:w="5040"/>
          </w:tcPr>
          <w:p>
            <w:pPr>
              <w:spacing w:after="0"/>
            </w:pPr>
            <w:r/>
            <w:r>
              <w:rPr>
                <w:b w:val="0"/>
                <w:color w:val="061A33"/>
                <w:sz w:val="18"/>
              </w:rPr>
              <w:t>[Outputs and formats]</w:t>
            </w:r>
          </w:p>
        </w:tc>
      </w:tr>
      <w:tr>
        <w:tc>
          <w:tcPr>
            <w:tcW w:type="dxa" w:w="5040"/>
            <w:shd w:fill="F7F9FC"/>
          </w:tcPr>
          <w:p>
            <w:pPr>
              <w:spacing w:after="0"/>
            </w:pPr>
            <w:r/>
            <w:r>
              <w:rPr>
                <w:b/>
                <w:color w:val="061A33"/>
                <w:sz w:val="18"/>
              </w:rPr>
              <w:t>Timeline</w:t>
            </w:r>
          </w:p>
        </w:tc>
        <w:tc>
          <w:tcPr>
            <w:tcW w:type="dxa" w:w="5040"/>
          </w:tcPr>
          <w:p>
            <w:pPr>
              <w:spacing w:after="0"/>
            </w:pPr>
            <w:r/>
            <w:r>
              <w:rPr>
                <w:b w:val="0"/>
                <w:color w:val="061A33"/>
                <w:sz w:val="18"/>
              </w:rPr>
              <w:t>[Start, milestones, end]</w:t>
            </w:r>
          </w:p>
        </w:tc>
      </w:tr>
      <w:tr>
        <w:tc>
          <w:tcPr>
            <w:tcW w:type="dxa" w:w="5040"/>
            <w:shd w:fill="F7F9FC"/>
          </w:tcPr>
          <w:p>
            <w:pPr>
              <w:spacing w:after="0"/>
            </w:pPr>
            <w:r/>
            <w:r>
              <w:rPr>
                <w:b/>
                <w:color w:val="061A33"/>
                <w:sz w:val="18"/>
              </w:rPr>
              <w:t>Fees</w:t>
            </w:r>
          </w:p>
        </w:tc>
        <w:tc>
          <w:tcPr>
            <w:tcW w:type="dxa" w:w="5040"/>
          </w:tcPr>
          <w:p>
            <w:pPr>
              <w:spacing w:after="0"/>
            </w:pPr>
            <w:r/>
            <w:r>
              <w:rPr>
                <w:b w:val="0"/>
                <w:color w:val="061A33"/>
                <w:sz w:val="18"/>
              </w:rPr>
              <w:t>[Fee model and billing schedule]</w:t>
            </w:r>
          </w:p>
        </w:tc>
      </w:tr>
      <w:tr>
        <w:tc>
          <w:tcPr>
            <w:tcW w:type="dxa" w:w="5040"/>
            <w:shd w:fill="F7F9FC"/>
          </w:tcPr>
          <w:p>
            <w:pPr>
              <w:spacing w:after="0"/>
            </w:pPr>
            <w:r/>
            <w:r>
              <w:rPr>
                <w:b/>
                <w:color w:val="061A33"/>
                <w:sz w:val="18"/>
              </w:rPr>
              <w:t>Governance</w:t>
            </w:r>
          </w:p>
        </w:tc>
        <w:tc>
          <w:tcPr>
            <w:tcW w:type="dxa" w:w="5040"/>
          </w:tcPr>
          <w:p>
            <w:pPr>
              <w:spacing w:after="0"/>
            </w:pPr>
            <w:r/>
            <w:r>
              <w:rPr>
                <w:b w:val="0"/>
                <w:color w:val="061A33"/>
                <w:sz w:val="18"/>
              </w:rPr>
              <w:t>[Cadence, owners, escalation]</w:t>
            </w:r>
          </w:p>
        </w:tc>
      </w:tr>
      <w:tr>
        <w:tc>
          <w:tcPr>
            <w:tcW w:type="dxa" w:w="5040"/>
            <w:shd w:fill="F7F9FC"/>
          </w:tcPr>
          <w:p>
            <w:pPr>
              <w:spacing w:after="0"/>
            </w:pPr>
            <w:r/>
            <w:r>
              <w:rPr>
                <w:b/>
                <w:color w:val="061A33"/>
                <w:sz w:val="18"/>
              </w:rPr>
              <w:t>Acceptance Criteria</w:t>
            </w:r>
          </w:p>
        </w:tc>
        <w:tc>
          <w:tcPr>
            <w:tcW w:type="dxa" w:w="5040"/>
          </w:tcPr>
          <w:p>
            <w:pPr>
              <w:spacing w:after="0"/>
            </w:pPr>
            <w:r/>
            <w:r>
              <w:rPr>
                <w:b w:val="0"/>
                <w:color w:val="061A33"/>
                <w:sz w:val="18"/>
              </w:rPr>
              <w:t>[How outputs are approved]</w:t>
            </w:r>
          </w:p>
        </w:tc>
      </w:tr>
    </w:tbl>
    <w:sectPr w:rsidR="00FC693F" w:rsidRPr="0006063C" w:rsidSect="00034616">
      <w:headerReference w:type="default" r:id="rId9"/>
      <w:footerReference w:type="default" r:id="rId10"/>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color w:val="C9932D"/>
        <w:sz w:val="16"/>
      </w:rPr>
      <w:t>◇ KULIC ADVISORY  |  https://www.kulicadvisory.com | @KulicAdvisory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061A33"/>
        <w:sz w:val="16"/>
      </w:rPr>
      <w:t>KULIC ADVISORY | MASTER SERVICE AGREEMENT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61A33"/>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61A33"/>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061A33"/>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02_Master_Service_Agreement_Template</dc:title>
  <dc:subject/>
  <dc:creator>Kulic Advisory</dc:creator>
  <cp:keywords/>
  <dc:description>generated by python-docx</dc:description>
  <cp:lastModifiedBy/>
  <cp:revision>1</cp:revision>
  <dcterms:created xsi:type="dcterms:W3CDTF">2013-12-23T23:15:00Z</dcterms:created>
  <dcterms:modified xsi:type="dcterms:W3CDTF">2013-12-23T23:15:00Z</dcterms:modified>
  <cp:category/>
</cp:coreProperties>
</file>